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27 (Key Subcontractors)</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91"/>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Contract to the Key Subcontractors set out in the Award Form. </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If requested by the Buyer, within ten (10) Working Days of receipt of the information provided by the Supplier pursuant to Paragraph 1.3, the Supplier shall also provide:.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following information in respect of the proposed Key Subcontractor:</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Buyer that the proposed Key Sub-Contract has been agreed on "arm’s-length" terms;</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Sub-Contract price expressed as a percentage of the total projected Charges over the Contract Period; and</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Schedule 24 (Financial Difficulties)) of the Key Subcontractor.</w:t>
      </w:r>
    </w:p>
    <w:p w:rsidR="00000000" w:rsidDel="00000000" w:rsidP="00000000" w:rsidRDefault="00000000" w:rsidRPr="00000000" w14:paraId="0000000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the Buyer, within ten (10) Working Days of receipt of the information provided by the Supplier pursuant to Paragraph The Supplier shall provide the Buyer with the following information in respect of the proposed Key Subcontractor:, the Supplier shall also provide:</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the Buyer.</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the Buyer to enforce any provisions under the Key Sub-Contract which confer a benefit upon the Buyer;</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Buyer to enforce the Key Sub-Contract as if it were the Supplier;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the Buyer; </w:t>
      </w:r>
    </w:p>
    <w:p w:rsidR="00000000" w:rsidDel="00000000" w:rsidP="00000000" w:rsidRDefault="00000000" w:rsidRPr="00000000" w14:paraId="0000001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Contract in respect of:</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18 (Data protection);</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20 (When you can share information);</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the Buyer or otherwise bring the Buyer into disrepute; </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the Buyer under Clauses 14.4 (When the Buyer can end this contract) and 14.5 (What happens if the contract ends) of this Contract; </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the Buyer; and</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the Buyer or any other person on behalf of the Buyer to step-in on substantially the same terms as are set out in Clause 13 (Step-in rights).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33"/>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terminate or materially amend the terms of any Key Sub-Contract without the Buyer's prior written consent, which shall not be unreasonably withheld or delayed.</w:t>
      </w:r>
    </w:p>
    <w:p w:rsidR="00000000" w:rsidDel="00000000" w:rsidP="00000000" w:rsidRDefault="00000000" w:rsidRPr="00000000" w14:paraId="00000020">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847"/>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847"/>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26">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bookmarkStart w:colFirst="0" w:colLast="0" w:name="3dy6vkm" w:id="6"/>
  <w:bookmarkEnd w:id="6"/>
  <w:p w:rsidR="00000000" w:rsidDel="00000000" w:rsidP="00000000" w:rsidRDefault="00000000" w:rsidRPr="00000000" w14:paraId="00000027">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23">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27 (Key Subcontractors)</w:t>
    </w:r>
  </w:p>
  <w:p w:rsidR="00000000" w:rsidDel="00000000" w:rsidP="00000000" w:rsidRDefault="00000000" w:rsidRPr="00000000" w14:paraId="00000024">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8"/>
      </w:pPr>
      <w:rPr>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